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21D0D" w14:textId="74D26818" w:rsidR="00DE7650" w:rsidRPr="00CE0424" w:rsidRDefault="00DE7650" w:rsidP="00DE7650">
      <w:pPr>
        <w:pStyle w:val="3GPPHeader"/>
        <w:spacing w:after="60"/>
        <w:rPr>
          <w:sz w:val="32"/>
          <w:szCs w:val="32"/>
          <w:highlight w:val="yellow"/>
        </w:rPr>
      </w:pPr>
      <w:r w:rsidRPr="00CE0424">
        <w:t>3GPP TSG-RAN WG</w:t>
      </w:r>
      <w:r>
        <w:t>2 #101</w:t>
      </w:r>
      <w:r w:rsidRPr="00CE0424">
        <w:tab/>
      </w:r>
      <w:r>
        <w:rPr>
          <w:sz w:val="32"/>
          <w:szCs w:val="32"/>
        </w:rPr>
        <w:t>R2-180</w:t>
      </w:r>
      <w:r w:rsidR="00644A62">
        <w:rPr>
          <w:sz w:val="32"/>
          <w:szCs w:val="32"/>
        </w:rPr>
        <w:t>3335</w:t>
      </w:r>
    </w:p>
    <w:p w14:paraId="7BA15482" w14:textId="1F212CD3" w:rsidR="00DE7650" w:rsidRPr="00CE0424" w:rsidRDefault="00DE7650" w:rsidP="00DE7650">
      <w:pPr>
        <w:pStyle w:val="3GPPHeader"/>
      </w:pPr>
      <w:bookmarkStart w:id="0" w:name="_Hlk492541263"/>
      <w:r>
        <w:rPr>
          <w:highlight w:val="yellow"/>
        </w:rPr>
        <w:t>Athens</w:t>
      </w:r>
      <w:r w:rsidRPr="00AF2D8F">
        <w:rPr>
          <w:highlight w:val="yellow"/>
        </w:rPr>
        <w:t>,</w:t>
      </w:r>
      <w:r>
        <w:rPr>
          <w:highlight w:val="yellow"/>
        </w:rPr>
        <w:t xml:space="preserve"> Greece</w:t>
      </w:r>
      <w:r w:rsidRPr="00AF2D8F">
        <w:rPr>
          <w:highlight w:val="yellow"/>
        </w:rPr>
        <w:t>,</w:t>
      </w:r>
      <w:r>
        <w:rPr>
          <w:highlight w:val="yellow"/>
        </w:rPr>
        <w:t>26</w:t>
      </w:r>
      <w:r w:rsidRPr="0079312B">
        <w:rPr>
          <w:highlight w:val="yellow"/>
          <w:vertAlign w:val="superscript"/>
        </w:rPr>
        <w:t>th</w:t>
      </w:r>
      <w:r>
        <w:rPr>
          <w:highlight w:val="yellow"/>
        </w:rPr>
        <w:t xml:space="preserve"> February</w:t>
      </w:r>
      <w:r w:rsidRPr="00AF2D8F">
        <w:rPr>
          <w:highlight w:val="yellow"/>
        </w:rPr>
        <w:t xml:space="preserve"> –</w:t>
      </w:r>
      <w:r>
        <w:rPr>
          <w:highlight w:val="yellow"/>
        </w:rPr>
        <w:t xml:space="preserve"> 2</w:t>
      </w:r>
      <w:r w:rsidRPr="0079312B">
        <w:rPr>
          <w:highlight w:val="yellow"/>
          <w:vertAlign w:val="superscript"/>
        </w:rPr>
        <w:t>nd</w:t>
      </w:r>
      <w:r>
        <w:rPr>
          <w:highlight w:val="yellow"/>
        </w:rPr>
        <w:t xml:space="preserve"> March 2018</w:t>
      </w:r>
      <w:bookmarkEnd w:id="0"/>
      <w:r>
        <w:t xml:space="preserve">                </w:t>
      </w:r>
      <w:r w:rsidR="00644A62">
        <w:tab/>
      </w:r>
      <w:r>
        <w:t>(</w:t>
      </w:r>
      <w:r w:rsidRPr="00C23035">
        <w:t>resubmission of R2-</w:t>
      </w:r>
      <w:r w:rsidRPr="0079312B">
        <w:t xml:space="preserve"> </w:t>
      </w:r>
      <w:r>
        <w:t>1801328)</w:t>
      </w:r>
    </w:p>
    <w:p w14:paraId="773408CB" w14:textId="77777777" w:rsidR="00DE7650" w:rsidRPr="009F0A5A" w:rsidRDefault="00DE7650" w:rsidP="00DE7650">
      <w:pPr>
        <w:pStyle w:val="3GPPHeader"/>
        <w:rPr>
          <w:sz w:val="22"/>
        </w:rPr>
      </w:pPr>
      <w:r w:rsidRPr="00B64DB1">
        <w:rPr>
          <w:sz w:val="22"/>
        </w:rPr>
        <w:t>Agenda Item:</w:t>
      </w:r>
      <w:r w:rsidRPr="00B64DB1">
        <w:rPr>
          <w:sz w:val="22"/>
        </w:rPr>
        <w:tab/>
      </w:r>
      <w:r w:rsidRPr="00AF2D8F">
        <w:rPr>
          <w:sz w:val="22"/>
          <w:highlight w:val="yellow"/>
        </w:rPr>
        <w:t>10.2.</w:t>
      </w:r>
      <w:r>
        <w:rPr>
          <w:sz w:val="22"/>
          <w:highlight w:val="yellow"/>
        </w:rPr>
        <w:t>7</w:t>
      </w:r>
      <w:r>
        <w:rPr>
          <w:sz w:val="22"/>
        </w:rPr>
        <w:t xml:space="preserve"> </w:t>
      </w:r>
      <w:bookmarkStart w:id="1" w:name="_GoBack"/>
      <w:bookmarkEnd w:id="1"/>
    </w:p>
    <w:p w14:paraId="5DAA27F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0EC1771F" w:rsidR="00E90E49" w:rsidRPr="00CE0424" w:rsidRDefault="003D3C45" w:rsidP="00311702">
      <w:pPr>
        <w:pStyle w:val="3GPPHeader"/>
        <w:rPr>
          <w:sz w:val="22"/>
        </w:rPr>
      </w:pPr>
      <w:r>
        <w:rPr>
          <w:sz w:val="22"/>
        </w:rPr>
        <w:t>Title:</w:t>
      </w:r>
      <w:r w:rsidR="00E90E49" w:rsidRPr="00CE0424">
        <w:rPr>
          <w:sz w:val="22"/>
        </w:rPr>
        <w:tab/>
      </w:r>
      <w:r w:rsidR="00F6640F">
        <w:rPr>
          <w:sz w:val="22"/>
        </w:rPr>
        <w:t>Enhancing Handover Failure</w:t>
      </w:r>
    </w:p>
    <w:p w14:paraId="65935703" w14:textId="593F1DD8" w:rsidR="00E90E49" w:rsidRPr="007D51F4" w:rsidRDefault="00E90E49" w:rsidP="007D51F4">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01C9F966" w14:textId="1772444C"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6E0E05">
        <w:t>[1]</w:t>
      </w:r>
      <w:r w:rsidR="00E25A33">
        <w:fldChar w:fldCharType="end"/>
      </w:r>
      <w:r w:rsidR="00E25A33">
        <w:t xml:space="preserve"> </w:t>
      </w:r>
      <w:r>
        <w:t xml:space="preserve">whether NR should support a “conditional handover” to reduce the handover failures compared to LTE. </w:t>
      </w:r>
      <w:r w:rsidR="00FF371B">
        <w:t>While most companies supported such enhancement, the decision was postp</w:t>
      </w:r>
      <w:r w:rsidR="00B54078">
        <w:t>oned allowing investigation of</w:t>
      </w:r>
      <w:r w:rsidR="00FF371B">
        <w:t xml:space="preserve">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w:t>
      </w:r>
    </w:p>
    <w:p w14:paraId="6334941A" w14:textId="439138A2" w:rsidR="00853878" w:rsidRPr="00CE0424" w:rsidRDefault="00853878" w:rsidP="00CE0424">
      <w:pPr>
        <w:pStyle w:val="BodyText"/>
      </w:pPr>
      <w:r>
        <w:t>In this document</w:t>
      </w:r>
      <w:r w:rsidR="00D846A4">
        <w:t>,</w:t>
      </w:r>
      <w:r>
        <w:t xml:space="preserve">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3" w:name="_Ref477972990"/>
      <w:r>
        <w:t>Discussion</w:t>
      </w:r>
      <w:bookmarkEnd w:id="3"/>
    </w:p>
    <w:p w14:paraId="22328B69" w14:textId="24D3AA46"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4" w:name="_Toc477972467"/>
      <w:bookmarkStart w:id="5" w:name="_Toc477972562"/>
      <w:bookmarkStart w:id="6" w:name="_Toc477972632"/>
      <w:bookmarkStart w:id="7" w:name="_Toc477972662"/>
      <w:bookmarkStart w:id="8" w:name="_Toc477972946"/>
      <w:bookmarkStart w:id="9" w:name="_Toc477972981"/>
      <w:bookmarkStart w:id="10" w:name="_Toc477973006"/>
      <w:bookmarkStart w:id="11" w:name="_Toc477973016"/>
      <w:bookmarkStart w:id="12" w:name="_Toc484187654"/>
      <w:r w:rsidRPr="00182866">
        <w:t>A UE being in coverage (in-sync) of its serving cell shall not perform mobility to a neighbour cell unless it receives a corresponding handover command from its serving cell.</w:t>
      </w:r>
      <w:bookmarkEnd w:id="4"/>
      <w:bookmarkEnd w:id="5"/>
      <w:bookmarkEnd w:id="6"/>
      <w:bookmarkEnd w:id="7"/>
      <w:bookmarkEnd w:id="8"/>
      <w:bookmarkEnd w:id="9"/>
      <w:bookmarkEnd w:id="10"/>
      <w:bookmarkEnd w:id="11"/>
      <w:bookmarkEnd w:id="12"/>
      <w:r w:rsidRPr="00182866">
        <w:t xml:space="preserve"> </w:t>
      </w:r>
    </w:p>
    <w:p w14:paraId="2FF8594A" w14:textId="6AF262FB"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6E0E05">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3" w:name="_Toc477972466"/>
      <w:bookmarkStart w:id="14" w:name="_Toc477972560"/>
      <w:bookmarkStart w:id="15" w:name="_Toc477972630"/>
      <w:bookmarkStart w:id="16" w:name="_Toc477972660"/>
      <w:bookmarkStart w:id="17" w:name="_Toc477972944"/>
      <w:bookmarkStart w:id="18" w:name="_Toc477972979"/>
      <w:bookmarkStart w:id="19" w:name="_Toc477973004"/>
      <w:bookmarkStart w:id="20" w:name="_Toc477973014"/>
      <w:bookmarkStart w:id="21" w:name="_Toc484187652"/>
      <w:r w:rsidRPr="00182866">
        <w:t>NR inherits T312 functionality from LTE.</w:t>
      </w:r>
      <w:bookmarkEnd w:id="13"/>
      <w:bookmarkEnd w:id="14"/>
      <w:bookmarkEnd w:id="15"/>
      <w:bookmarkEnd w:id="16"/>
      <w:bookmarkEnd w:id="17"/>
      <w:bookmarkEnd w:id="18"/>
      <w:bookmarkEnd w:id="19"/>
      <w:bookmarkEnd w:id="20"/>
      <w:bookmarkEnd w:id="21"/>
      <w:r w:rsidRPr="00182866">
        <w:t xml:space="preserve"> </w:t>
      </w:r>
    </w:p>
    <w:p w14:paraId="2B24F783" w14:textId="30B9DA64" w:rsidR="00D47284" w:rsidRPr="00182866" w:rsidRDefault="00D47284" w:rsidP="00D47284">
      <w:pPr>
        <w:pStyle w:val="Proposal"/>
      </w:pPr>
      <w:bookmarkStart w:id="22" w:name="_Toc477972468"/>
      <w:bookmarkStart w:id="23" w:name="_Toc477972563"/>
      <w:bookmarkStart w:id="24" w:name="_Toc477972633"/>
      <w:bookmarkStart w:id="25" w:name="_Toc477972663"/>
      <w:bookmarkStart w:id="26" w:name="_Toc477972947"/>
      <w:bookmarkStart w:id="27" w:name="_Toc477972982"/>
      <w:bookmarkStart w:id="28" w:name="_Toc477973007"/>
      <w:bookmarkStart w:id="29" w:name="_Toc477973017"/>
      <w:bookmarkStart w:id="30" w:name="_Toc484187655"/>
      <w:r w:rsidRPr="00182866">
        <w:t xml:space="preserve">The NR </w:t>
      </w:r>
      <w:r w:rsidR="00DE4EA4" w:rsidRPr="00182866">
        <w:t>UE may</w:t>
      </w:r>
      <w:r w:rsidR="00D053E0">
        <w:t xml:space="preserve"> </w:t>
      </w:r>
      <w:r w:rsidR="00DE4EA4" w:rsidRPr="00182866">
        <w:t xml:space="preserve">start </w:t>
      </w:r>
      <w:r w:rsidR="00D053E0">
        <w:t>a timer</w:t>
      </w:r>
      <w:r w:rsidR="00DE4EA4" w:rsidRPr="00182866">
        <w:t xml:space="preserve"> when detecting out-of-sync </w:t>
      </w:r>
      <w:r w:rsidR="00DE4EA4" w:rsidRPr="00182866">
        <w:rPr>
          <w:u w:val="single"/>
        </w:rPr>
        <w:t>after</w:t>
      </w:r>
      <w:r w:rsidR="00DE4EA4" w:rsidRPr="00182866">
        <w:t xml:space="preserve"> </w:t>
      </w:r>
      <w:r w:rsidR="00D053E0">
        <w:t xml:space="preserve">triggering a measurement report, if such a timer has been configured </w:t>
      </w:r>
      <w:r w:rsidR="00DE4EA4" w:rsidRPr="00182866">
        <w:t xml:space="preserve">for </w:t>
      </w:r>
      <w:r w:rsidR="00D053E0">
        <w:t>that</w:t>
      </w:r>
      <w:r w:rsidR="00DE4EA4" w:rsidRPr="00182866">
        <w:t xml:space="preserve"> measurement</w:t>
      </w:r>
      <w:r w:rsidR="00D053E0">
        <w:t xml:space="preserve"> report</w:t>
      </w:r>
      <w:r w:rsidR="00DE4EA4" w:rsidRPr="00182866">
        <w:t>.</w:t>
      </w:r>
      <w:bookmarkEnd w:id="22"/>
      <w:bookmarkEnd w:id="23"/>
      <w:bookmarkEnd w:id="24"/>
      <w:bookmarkEnd w:id="25"/>
      <w:bookmarkEnd w:id="26"/>
      <w:bookmarkEnd w:id="27"/>
      <w:bookmarkEnd w:id="28"/>
      <w:bookmarkEnd w:id="29"/>
      <w:bookmarkEnd w:id="30"/>
    </w:p>
    <w:p w14:paraId="5DB30A8E" w14:textId="626D9696"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 xml:space="preserve">We agree that the pre-provisioning of SI may have a positive effect on the reestablishment delay. And in fact, it was also agreed at </w:t>
      </w:r>
      <w:r w:rsidR="006A2F2F" w:rsidRPr="00182866">
        <w:lastRenderedPageBreak/>
        <w:t>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r w:rsidR="006E0E05">
        <w:t xml:space="preserve"> </w:t>
      </w:r>
    </w:p>
    <w:p w14:paraId="45BF79D1" w14:textId="02A006B9" w:rsidR="00091FA9" w:rsidRDefault="00091FA9" w:rsidP="00091FA9">
      <w:pPr>
        <w:pStyle w:val="Observation"/>
      </w:pPr>
      <w:bookmarkStart w:id="31" w:name="_Toc477972561"/>
      <w:bookmarkStart w:id="32" w:name="_Toc477972631"/>
      <w:bookmarkStart w:id="33" w:name="_Toc477972661"/>
      <w:bookmarkStart w:id="34" w:name="_Toc477972945"/>
      <w:bookmarkStart w:id="35" w:name="_Toc477972980"/>
      <w:bookmarkStart w:id="36" w:name="_Toc477973005"/>
      <w:bookmarkStart w:id="37" w:name="_Toc477973015"/>
      <w:bookmarkStart w:id="38" w:name="_Toc484187653"/>
      <w:r>
        <w:t>RAN2’s agreement that one cell may provide system information for neighbour cells, may also reduce the re-establishment delay (e.g. upon HOF) since the UE may not need to re-read the entire SI from the target cell.</w:t>
      </w:r>
      <w:bookmarkEnd w:id="31"/>
      <w:bookmarkEnd w:id="32"/>
      <w:bookmarkEnd w:id="33"/>
      <w:bookmarkEnd w:id="34"/>
      <w:bookmarkEnd w:id="35"/>
      <w:bookmarkEnd w:id="36"/>
      <w:bookmarkEnd w:id="37"/>
      <w:bookmarkEnd w:id="38"/>
      <w:r>
        <w:t xml:space="preserve"> </w:t>
      </w:r>
    </w:p>
    <w:p w14:paraId="7E690B51" w14:textId="77777777" w:rsidR="00C01F33" w:rsidRPr="00CE0424" w:rsidRDefault="00C01F33" w:rsidP="00CE0424">
      <w:pPr>
        <w:pStyle w:val="Heading1"/>
      </w:pPr>
      <w:r w:rsidRPr="00CE0424">
        <w:t>Conclusion</w:t>
      </w:r>
    </w:p>
    <w:p w14:paraId="556077E9" w14:textId="77777777" w:rsidR="006E0E05"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0E50001" w14:textId="77777777" w:rsidR="006E0E05" w:rsidRPr="006E0E05" w:rsidRDefault="006E0E05">
      <w:pPr>
        <w:pStyle w:val="TOC1"/>
        <w:rPr>
          <w:rFonts w:asciiTheme="minorHAnsi" w:eastAsiaTheme="minorEastAsia" w:hAnsiTheme="minorHAnsi" w:cstheme="minorBidi"/>
          <w:b w:val="0"/>
          <w:sz w:val="22"/>
          <w:lang w:val="en-GB" w:eastAsia="de-DE"/>
        </w:rPr>
      </w:pPr>
      <w:r>
        <w:t>Observation 1</w:t>
      </w:r>
      <w:r w:rsidRPr="006E0E05">
        <w:rPr>
          <w:rFonts w:asciiTheme="minorHAnsi" w:eastAsiaTheme="minorEastAsia" w:hAnsiTheme="minorHAnsi" w:cstheme="minorBidi"/>
          <w:b w:val="0"/>
          <w:sz w:val="22"/>
          <w:lang w:val="en-GB" w:eastAsia="de-DE"/>
        </w:rPr>
        <w:tab/>
      </w:r>
      <w:r>
        <w:t>NR inherits T312 functionality from LTE.</w:t>
      </w:r>
    </w:p>
    <w:p w14:paraId="1C3E28D1" w14:textId="77777777" w:rsidR="006E0E05" w:rsidRPr="006E0E05" w:rsidRDefault="006E0E05">
      <w:pPr>
        <w:pStyle w:val="TOC1"/>
        <w:rPr>
          <w:rFonts w:asciiTheme="minorHAnsi" w:eastAsiaTheme="minorEastAsia" w:hAnsiTheme="minorHAnsi" w:cstheme="minorBidi"/>
          <w:b w:val="0"/>
          <w:sz w:val="22"/>
          <w:lang w:val="en-GB" w:eastAsia="de-DE"/>
        </w:rPr>
      </w:pPr>
      <w:r>
        <w:t>Observation 2</w:t>
      </w:r>
      <w:r w:rsidRPr="006E0E05">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33337747" w14:textId="77777777" w:rsidR="006E0E05"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5873A6CC" w14:textId="77777777" w:rsidR="006E0E05" w:rsidRPr="006E0E05" w:rsidRDefault="006E0E05">
      <w:pPr>
        <w:pStyle w:val="TOC1"/>
        <w:rPr>
          <w:rFonts w:asciiTheme="minorHAnsi" w:eastAsiaTheme="minorEastAsia" w:hAnsiTheme="minorHAnsi" w:cstheme="minorBidi"/>
          <w:b w:val="0"/>
          <w:sz w:val="22"/>
          <w:lang w:val="en-GB" w:eastAsia="de-DE"/>
        </w:rPr>
      </w:pPr>
      <w:r>
        <w:t>Proposal 1</w:t>
      </w:r>
      <w:r w:rsidRPr="006E0E05">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67D2CF4D" w14:textId="7FEAD6C1" w:rsidR="006E0E05" w:rsidRPr="006E0E05" w:rsidRDefault="006E0E05">
      <w:pPr>
        <w:pStyle w:val="TOC1"/>
        <w:rPr>
          <w:rFonts w:asciiTheme="minorHAnsi" w:eastAsiaTheme="minorEastAsia" w:hAnsiTheme="minorHAnsi" w:cstheme="minorBidi"/>
          <w:b w:val="0"/>
          <w:sz w:val="22"/>
          <w:lang w:val="en-GB" w:eastAsia="de-DE"/>
        </w:rPr>
      </w:pPr>
      <w:r>
        <w:t>Proposal 2</w:t>
      </w:r>
      <w:r w:rsidRPr="006E0E05">
        <w:rPr>
          <w:rFonts w:asciiTheme="minorHAnsi" w:eastAsiaTheme="minorEastAsia" w:hAnsiTheme="minorHAnsi" w:cstheme="minorBidi"/>
          <w:b w:val="0"/>
          <w:sz w:val="22"/>
          <w:lang w:val="en-GB" w:eastAsia="de-DE"/>
        </w:rPr>
        <w:tab/>
      </w:r>
      <w:r w:rsidR="00D053E0" w:rsidRPr="00182866">
        <w:t>The NR UE may</w:t>
      </w:r>
      <w:r w:rsidR="00D053E0">
        <w:t xml:space="preserve"> </w:t>
      </w:r>
      <w:r w:rsidR="00D053E0" w:rsidRPr="00182866">
        <w:t xml:space="preserve">start </w:t>
      </w:r>
      <w:r w:rsidR="00D053E0">
        <w:t>a timer</w:t>
      </w:r>
      <w:r w:rsidR="00D053E0" w:rsidRPr="00182866">
        <w:t xml:space="preserve"> when detecting out-of-sync </w:t>
      </w:r>
      <w:r w:rsidR="00D053E0" w:rsidRPr="00182866">
        <w:rPr>
          <w:u w:val="single"/>
        </w:rPr>
        <w:t>after</w:t>
      </w:r>
      <w:r w:rsidR="00D053E0" w:rsidRPr="00182866">
        <w:t xml:space="preserve"> </w:t>
      </w:r>
      <w:r w:rsidR="00D053E0">
        <w:t xml:space="preserve">triggering a measurement report, if such a timer has been configured </w:t>
      </w:r>
      <w:r w:rsidR="00D053E0" w:rsidRPr="00182866">
        <w:t xml:space="preserve">for </w:t>
      </w:r>
      <w:r w:rsidR="00D053E0">
        <w:t>that</w:t>
      </w:r>
      <w:r w:rsidR="00D053E0" w:rsidRPr="00182866">
        <w:t xml:space="preserve"> measurement</w:t>
      </w:r>
      <w:r w:rsidR="00D053E0">
        <w:t xml:space="preserve"> report</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9" w:name="_In-sequence_SDU_delivery"/>
      <w:bookmarkEnd w:id="39"/>
      <w:r w:rsidRPr="00CE0424">
        <w:t>References</w:t>
      </w:r>
    </w:p>
    <w:bookmarkStart w:id="40" w:name="_Ref477726095"/>
    <w:p w14:paraId="586C81F6" w14:textId="1B68C084"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40"/>
    </w:p>
    <w:bookmarkStart w:id="41" w:name="_Ref477970055"/>
    <w:p w14:paraId="389DCB46" w14:textId="7006233E" w:rsidR="00E25A33" w:rsidRPr="00CE0424" w:rsidRDefault="00D53AC4" w:rsidP="00E25A33">
      <w:pPr>
        <w:pStyle w:val="Reference"/>
      </w:pPr>
      <w:r>
        <w:rPr>
          <w:lang w:val="en-US"/>
        </w:rPr>
        <w:fldChar w:fldCharType="begin"/>
      </w:r>
      <w:r>
        <w:instrText xml:space="preserve"> HYPERLINK "ftp://ftp.3gpp.org/tsg_ran/WG2_RL2/TSGR2_97/Docs//R2-1701711.zip" </w:instrText>
      </w:r>
      <w:r>
        <w:rPr>
          <w:lang w:val="en-US"/>
        </w:rP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41"/>
      <w:r w:rsidR="00E25A33">
        <w:t xml:space="preserve"> </w:t>
      </w:r>
    </w:p>
    <w:sectPr w:rsidR="00E25A3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9F0C0" w14:textId="77777777" w:rsidR="007A6208" w:rsidRDefault="007A6208">
      <w:r>
        <w:separator/>
      </w:r>
    </w:p>
  </w:endnote>
  <w:endnote w:type="continuationSeparator" w:id="0">
    <w:p w14:paraId="1C14F35A" w14:textId="77777777" w:rsidR="007A6208" w:rsidRDefault="007A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357DB" w14:textId="77777777" w:rsidR="007A6208" w:rsidRDefault="007A6208">
      <w:r>
        <w:separator/>
      </w:r>
    </w:p>
  </w:footnote>
  <w:footnote w:type="continuationSeparator" w:id="0">
    <w:p w14:paraId="1817C2AB" w14:textId="77777777" w:rsidR="007A6208" w:rsidRDefault="007A6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E493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458C3"/>
    <w:rsid w:val="001518C4"/>
    <w:rsid w:val="00151E23"/>
    <w:rsid w:val="001526E0"/>
    <w:rsid w:val="001551B5"/>
    <w:rsid w:val="00163AE6"/>
    <w:rsid w:val="001643A8"/>
    <w:rsid w:val="001659C1"/>
    <w:rsid w:val="00167A14"/>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58C"/>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63B93"/>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3F8C"/>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1437"/>
    <w:rsid w:val="0056145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65DE"/>
    <w:rsid w:val="005C74FB"/>
    <w:rsid w:val="005C7943"/>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69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A62"/>
    <w:rsid w:val="0064624E"/>
    <w:rsid w:val="00650AB9"/>
    <w:rsid w:val="00655733"/>
    <w:rsid w:val="00655ACD"/>
    <w:rsid w:val="00656A92"/>
    <w:rsid w:val="00656DDE"/>
    <w:rsid w:val="0066011D"/>
    <w:rsid w:val="006607C0"/>
    <w:rsid w:val="006613A6"/>
    <w:rsid w:val="006627A2"/>
    <w:rsid w:val="006634E6"/>
    <w:rsid w:val="006655EE"/>
    <w:rsid w:val="00667EE7"/>
    <w:rsid w:val="0067081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0982"/>
    <w:rsid w:val="006E0E05"/>
    <w:rsid w:val="006E28B7"/>
    <w:rsid w:val="006E3310"/>
    <w:rsid w:val="006E4E39"/>
    <w:rsid w:val="006E565E"/>
    <w:rsid w:val="006E673D"/>
    <w:rsid w:val="006E7D3B"/>
    <w:rsid w:val="006F1B70"/>
    <w:rsid w:val="006F341D"/>
    <w:rsid w:val="006F3CDE"/>
    <w:rsid w:val="006F58D4"/>
    <w:rsid w:val="0070346E"/>
    <w:rsid w:val="00704B91"/>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6208"/>
    <w:rsid w:val="007A7316"/>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044"/>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27972"/>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9F65CA"/>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4711C"/>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4468"/>
    <w:rsid w:val="00B05084"/>
    <w:rsid w:val="00B157F9"/>
    <w:rsid w:val="00B167F1"/>
    <w:rsid w:val="00B20256"/>
    <w:rsid w:val="00B20D09"/>
    <w:rsid w:val="00B25750"/>
    <w:rsid w:val="00B2763F"/>
    <w:rsid w:val="00B27AAC"/>
    <w:rsid w:val="00B30929"/>
    <w:rsid w:val="00B357EF"/>
    <w:rsid w:val="00B364E6"/>
    <w:rsid w:val="00B372AA"/>
    <w:rsid w:val="00B40445"/>
    <w:rsid w:val="00B4149F"/>
    <w:rsid w:val="00B41888"/>
    <w:rsid w:val="00B42BDB"/>
    <w:rsid w:val="00B45A52"/>
    <w:rsid w:val="00B46175"/>
    <w:rsid w:val="00B54078"/>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23A"/>
    <w:rsid w:val="00C154BB"/>
    <w:rsid w:val="00C16266"/>
    <w:rsid w:val="00C26FAA"/>
    <w:rsid w:val="00C279B5"/>
    <w:rsid w:val="00C27C45"/>
    <w:rsid w:val="00C3469F"/>
    <w:rsid w:val="00C3719D"/>
    <w:rsid w:val="00C54995"/>
    <w:rsid w:val="00C54D41"/>
    <w:rsid w:val="00C60783"/>
    <w:rsid w:val="00C628DF"/>
    <w:rsid w:val="00C64672"/>
    <w:rsid w:val="00C70697"/>
    <w:rsid w:val="00C72EF4"/>
    <w:rsid w:val="00C75D2F"/>
    <w:rsid w:val="00C7666B"/>
    <w:rsid w:val="00C767BE"/>
    <w:rsid w:val="00C76963"/>
    <w:rsid w:val="00C76E3C"/>
    <w:rsid w:val="00C81568"/>
    <w:rsid w:val="00C8625D"/>
    <w:rsid w:val="00C87EA4"/>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053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46A4"/>
    <w:rsid w:val="00D86CA3"/>
    <w:rsid w:val="00D871CE"/>
    <w:rsid w:val="00D9196D"/>
    <w:rsid w:val="00D92982"/>
    <w:rsid w:val="00D9780A"/>
    <w:rsid w:val="00DA305E"/>
    <w:rsid w:val="00DA5007"/>
    <w:rsid w:val="00DA5417"/>
    <w:rsid w:val="00DA56E8"/>
    <w:rsid w:val="00DB0A9F"/>
    <w:rsid w:val="00DB1A89"/>
    <w:rsid w:val="00DB377D"/>
    <w:rsid w:val="00DB62EA"/>
    <w:rsid w:val="00DC2D36"/>
    <w:rsid w:val="00DC50F8"/>
    <w:rsid w:val="00DC53EF"/>
    <w:rsid w:val="00DC6261"/>
    <w:rsid w:val="00DD6F8D"/>
    <w:rsid w:val="00DE4EA4"/>
    <w:rsid w:val="00DE5608"/>
    <w:rsid w:val="00DE58D0"/>
    <w:rsid w:val="00DE654F"/>
    <w:rsid w:val="00DE7650"/>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A8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B1A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A8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6E0E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5NUHHDQN7SK2-1476151046-17605</_dlc_DocId>
    <_dlc_DocIdUrl xmlns="f166a696-7b5b-4ccd-9f0c-ffde0cceec81">
      <Url>https://ericsson.sharepoint.com/sites/star/_layouts/15/DocIdRedir.aspx?ID=5NUHHDQN7SK2-1476151046-17605</Url>
      <Description>5NUHHDQN7SK2-1476151046-17605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37D730-E628-4D91-83F4-254E4AB340E4}">
  <ds:schemaRefs>
    <ds:schemaRef ds:uri="http://schemas.microsoft.com/sharepoint/events"/>
  </ds:schemaRefs>
</ds:datastoreItem>
</file>

<file path=customXml/itemProps2.xml><?xml version="1.0" encoding="utf-8"?>
<ds:datastoreItem xmlns:ds="http://schemas.openxmlformats.org/officeDocument/2006/customXml" ds:itemID="{5D5E8908-65B9-4A2F-A95B-3C1163BFBE8B}">
  <ds:schemaRefs>
    <ds:schemaRef ds:uri="http://schemas.microsoft.com/sharepoint/v3/contenttype/forms"/>
  </ds:schemaRefs>
</ds:datastoreItem>
</file>

<file path=customXml/itemProps3.xml><?xml version="1.0" encoding="utf-8"?>
<ds:datastoreItem xmlns:ds="http://schemas.openxmlformats.org/officeDocument/2006/customXml" ds:itemID="{A51A1DDB-7BFB-4A2C-A5EC-D6C9DD6136B4}">
  <ds:schemaRefs>
    <ds:schemaRef ds:uri="http://www.w3.org/XML/1998/namespace"/>
    <ds:schemaRef ds:uri="http://purl.org/dc/terms/"/>
    <ds:schemaRef ds:uri="611109f9-ed58-4498-a270-1fb2086a5321"/>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sharepoint/v4"/>
    <ds:schemaRef ds:uri="f166a696-7b5b-4ccd-9f0c-ffde0cceec81"/>
    <ds:schemaRef ds:uri="d8762117-8292-4133-b1c7-eab5c6487cfd"/>
    <ds:schemaRef ds:uri="http://purl.org/dc/dcmitype/"/>
  </ds:schemaRefs>
</ds:datastoreItem>
</file>

<file path=customXml/itemProps4.xml><?xml version="1.0" encoding="utf-8"?>
<ds:datastoreItem xmlns:ds="http://schemas.openxmlformats.org/officeDocument/2006/customXml" ds:itemID="{0267EAF6-AC35-47A0-812A-6DD2F3AD8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BF7C25-B271-40AA-A780-37332A765C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2018-02-15T20:57:00Z</dcterms:created>
  <dcterms:modified xsi:type="dcterms:W3CDTF">2018-02-15T20:57:00Z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7725b371-60b5-4656-b263-9b364331d0f5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